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77B8F">
      <w:pPr>
        <w:jc w:val="both"/>
        <w:rPr>
          <w:b/>
          <w:bCs/>
          <w:sz w:val="32"/>
          <w:szCs w:val="32"/>
        </w:rPr>
      </w:pPr>
      <w:r>
        <w:rPr>
          <w:rFonts w:hint="eastAsia"/>
          <w:b/>
          <w:bCs/>
          <w:sz w:val="32"/>
          <w:szCs w:val="32"/>
        </w:rPr>
        <w:t>哈尔滨工业大学（威海）汽车工程学院</w:t>
      </w:r>
    </w:p>
    <w:p w14:paraId="540B2108">
      <w:pPr>
        <w:jc w:val="center"/>
        <w:rPr>
          <w:b/>
          <w:bCs/>
          <w:sz w:val="32"/>
          <w:szCs w:val="32"/>
        </w:rPr>
      </w:pPr>
      <w:r>
        <w:rPr>
          <w:rFonts w:hint="eastAsia"/>
          <w:b/>
          <w:bCs/>
          <w:sz w:val="32"/>
          <w:szCs w:val="32"/>
        </w:rPr>
        <w:t>研究生国家奖学金评选细则</w:t>
      </w:r>
    </w:p>
    <w:p w14:paraId="49FF1DFA">
      <w:pPr>
        <w:jc w:val="center"/>
        <w:rPr>
          <w:sz w:val="30"/>
          <w:szCs w:val="30"/>
        </w:rPr>
      </w:pPr>
    </w:p>
    <w:p w14:paraId="241176BB">
      <w:pPr>
        <w:adjustRightInd w:val="0"/>
        <w:snapToGrid w:val="0"/>
        <w:spacing w:line="360" w:lineRule="auto"/>
        <w:ind w:firstLine="480" w:firstLineChars="200"/>
        <w:rPr>
          <w:rFonts w:cs="宋体"/>
          <w:sz w:val="24"/>
        </w:rPr>
      </w:pPr>
      <w:r>
        <w:rPr>
          <w:rFonts w:hint="eastAsia" w:cs="宋体"/>
          <w:sz w:val="24"/>
        </w:rPr>
        <w:t>为提高研究生培养质量，奖励校区学习成绩优异，科研能力突出的全日制研究生，根据《哈尔滨工业大学研究生国家奖学金评审实施办法》（哈工大研[2024]83号）文件要求，结合威海校区实际，特制定此评选细则。</w:t>
      </w:r>
    </w:p>
    <w:p w14:paraId="0809E552">
      <w:pPr>
        <w:adjustRightInd w:val="0"/>
        <w:snapToGrid w:val="0"/>
        <w:spacing w:line="360" w:lineRule="auto"/>
        <w:ind w:firstLine="482" w:firstLineChars="200"/>
        <w:rPr>
          <w:b/>
          <w:bCs/>
          <w:sz w:val="24"/>
        </w:rPr>
      </w:pPr>
      <w:r>
        <w:rPr>
          <w:rFonts w:hint="eastAsia"/>
          <w:b/>
          <w:bCs/>
          <w:sz w:val="24"/>
        </w:rPr>
        <w:t>一、评选范围及申请条件</w:t>
      </w:r>
    </w:p>
    <w:p w14:paraId="01FCE478">
      <w:pPr>
        <w:adjustRightInd w:val="0"/>
        <w:snapToGrid w:val="0"/>
        <w:spacing w:line="360" w:lineRule="auto"/>
        <w:ind w:firstLine="480" w:firstLineChars="200"/>
        <w:rPr>
          <w:sz w:val="24"/>
        </w:rPr>
      </w:pPr>
      <w:r>
        <w:rPr>
          <w:rFonts w:hint="eastAsia"/>
          <w:sz w:val="24"/>
        </w:rPr>
        <w:t>（一）评选范围</w:t>
      </w:r>
    </w:p>
    <w:p w14:paraId="6D6E44D2">
      <w:pPr>
        <w:adjustRightInd w:val="0"/>
        <w:snapToGrid w:val="0"/>
        <w:spacing w:line="360" w:lineRule="auto"/>
        <w:ind w:firstLine="480" w:firstLineChars="200"/>
        <w:rPr>
          <w:sz w:val="24"/>
        </w:rPr>
      </w:pPr>
      <w:r>
        <w:rPr>
          <w:rFonts w:hint="eastAsia"/>
          <w:sz w:val="24"/>
        </w:rPr>
        <w:t>1. 基本修业年限内，在籍在册的纳入全国研究生招生计划的全日制非定向就业类研究生，定向就业类中的“高层次人才强军计划”和“少数民族高层次骨干人才计划”招收的研究生。</w:t>
      </w:r>
    </w:p>
    <w:p w14:paraId="4EB265D3">
      <w:pPr>
        <w:adjustRightInd w:val="0"/>
        <w:snapToGrid w:val="0"/>
        <w:spacing w:line="360" w:lineRule="auto"/>
        <w:ind w:firstLine="482" w:firstLineChars="200"/>
        <w:rPr>
          <w:b/>
          <w:bCs/>
          <w:sz w:val="24"/>
        </w:rPr>
      </w:pPr>
      <w:r>
        <w:rPr>
          <w:rFonts w:hint="eastAsia"/>
          <w:b/>
          <w:bCs/>
          <w:sz w:val="24"/>
        </w:rPr>
        <w:t>2. 硕士研究生须在申请年度 9 月 30 日前已完成硕士学位论文开题，且学位课成绩排名与综合排名均在前 50%。</w:t>
      </w:r>
    </w:p>
    <w:p w14:paraId="402BD578">
      <w:pPr>
        <w:adjustRightInd w:val="0"/>
        <w:snapToGrid w:val="0"/>
        <w:spacing w:line="360" w:lineRule="auto"/>
        <w:ind w:firstLine="482" w:firstLineChars="200"/>
        <w:rPr>
          <w:b/>
          <w:bCs/>
          <w:sz w:val="24"/>
        </w:rPr>
      </w:pPr>
      <w:r>
        <w:rPr>
          <w:rFonts w:hint="eastAsia"/>
          <w:b/>
          <w:bCs/>
          <w:sz w:val="24"/>
        </w:rPr>
        <w:t xml:space="preserve">3. </w:t>
      </w:r>
      <w:r>
        <w:rPr>
          <w:b/>
          <w:bCs/>
          <w:sz w:val="24"/>
        </w:rPr>
        <w:t>除研究生学</w:t>
      </w:r>
      <w:r>
        <w:rPr>
          <w:rFonts w:hint="eastAsia"/>
          <w:b/>
          <w:bCs/>
          <w:sz w:val="24"/>
        </w:rPr>
        <w:t>业奖学金外，同年度国家奖学金不可与其他奖学金兼得，</w:t>
      </w:r>
      <w:r>
        <w:rPr>
          <w:b/>
          <w:bCs/>
          <w:sz w:val="24"/>
        </w:rPr>
        <w:t xml:space="preserve"> 研究生自愿</w:t>
      </w:r>
      <w:r>
        <w:rPr>
          <w:rFonts w:hint="eastAsia"/>
          <w:b/>
          <w:bCs/>
          <w:sz w:val="24"/>
        </w:rPr>
        <w:t>选择申请奖学金类别。</w:t>
      </w:r>
    </w:p>
    <w:p w14:paraId="75529FAF">
      <w:pPr>
        <w:adjustRightInd w:val="0"/>
        <w:snapToGrid w:val="0"/>
        <w:spacing w:line="360" w:lineRule="auto"/>
        <w:ind w:firstLine="480" w:firstLineChars="200"/>
        <w:rPr>
          <w:sz w:val="24"/>
        </w:rPr>
      </w:pPr>
      <w:r>
        <w:rPr>
          <w:rFonts w:hint="eastAsia"/>
          <w:sz w:val="24"/>
        </w:rPr>
        <w:t>（二）申请条件</w:t>
      </w:r>
    </w:p>
    <w:p w14:paraId="4601286F">
      <w:pPr>
        <w:adjustRightInd w:val="0"/>
        <w:snapToGrid w:val="0"/>
        <w:spacing w:line="360" w:lineRule="auto"/>
        <w:ind w:firstLine="480" w:firstLineChars="200"/>
        <w:rPr>
          <w:sz w:val="24"/>
        </w:rPr>
      </w:pPr>
      <w:r>
        <w:rPr>
          <w:rFonts w:hint="eastAsia"/>
          <w:sz w:val="24"/>
        </w:rPr>
        <w:t xml:space="preserve">1. </w:t>
      </w:r>
      <w:r>
        <w:rPr>
          <w:sz w:val="24"/>
        </w:rPr>
        <w:t>具有中</w:t>
      </w:r>
      <w:r>
        <w:rPr>
          <w:rFonts w:hint="eastAsia"/>
          <w:sz w:val="24"/>
        </w:rPr>
        <w:t>华人民共和国国籍；热爱祖国，拥护中国共产党的领导；遵守宪法和法律，遵守高等学校规章制度；诚实守信，道德品质优良；课程学习成绩优异；在科研工作中发挥积极作用，科研能力突出，具</w:t>
      </w:r>
      <w:r>
        <w:rPr>
          <w:sz w:val="24"/>
        </w:rPr>
        <w:t>有良好的</w:t>
      </w:r>
      <w:r>
        <w:rPr>
          <w:rFonts w:hint="eastAsia"/>
          <w:sz w:val="24"/>
        </w:rPr>
        <w:t>发展潜力；学位论文进展状态好，并已取得显著成果。</w:t>
      </w:r>
    </w:p>
    <w:p w14:paraId="24695DB7">
      <w:pPr>
        <w:adjustRightInd w:val="0"/>
        <w:snapToGrid w:val="0"/>
        <w:spacing w:line="360" w:lineRule="auto"/>
        <w:ind w:firstLine="480" w:firstLineChars="200"/>
        <w:rPr>
          <w:sz w:val="24"/>
        </w:rPr>
      </w:pPr>
      <w:r>
        <w:rPr>
          <w:rFonts w:hint="eastAsia"/>
          <w:sz w:val="24"/>
        </w:rPr>
        <w:t>2. 基本修业年限内在籍在册的纳入全国研究生招生计划的全日制非定向就业类研究生定向就业类中的“高层次人才强军计划”和“少数民族高层次骨干人才计划”招收的研究生。</w:t>
      </w:r>
    </w:p>
    <w:p w14:paraId="61DBB978">
      <w:pPr>
        <w:adjustRightInd w:val="0"/>
        <w:snapToGrid w:val="0"/>
        <w:spacing w:line="360" w:lineRule="auto"/>
        <w:ind w:firstLine="480" w:firstLineChars="200"/>
        <w:rPr>
          <w:sz w:val="24"/>
        </w:rPr>
      </w:pPr>
      <w:r>
        <w:rPr>
          <w:rFonts w:hint="eastAsia"/>
          <w:sz w:val="24"/>
        </w:rPr>
        <w:t>3. 有纪律处分等情况的研究生处分期内不能参加国家奖学金的评选。</w:t>
      </w:r>
    </w:p>
    <w:p w14:paraId="2E4604BB">
      <w:pPr>
        <w:adjustRightInd w:val="0"/>
        <w:snapToGrid w:val="0"/>
        <w:spacing w:line="360" w:lineRule="auto"/>
        <w:ind w:firstLine="482" w:firstLineChars="200"/>
        <w:rPr>
          <w:b/>
          <w:bCs/>
          <w:sz w:val="24"/>
        </w:rPr>
      </w:pPr>
      <w:r>
        <w:rPr>
          <w:b/>
          <w:bCs/>
          <w:sz w:val="24"/>
        </w:rPr>
        <w:t>二、</w:t>
      </w:r>
      <w:r>
        <w:rPr>
          <w:rFonts w:hint="eastAsia"/>
          <w:b/>
          <w:bCs/>
          <w:sz w:val="24"/>
        </w:rPr>
        <w:t>奖励标准及评审原则</w:t>
      </w:r>
    </w:p>
    <w:p w14:paraId="3B84951D">
      <w:pPr>
        <w:adjustRightInd w:val="0"/>
        <w:snapToGrid w:val="0"/>
        <w:spacing w:line="360" w:lineRule="auto"/>
        <w:ind w:firstLine="480" w:firstLineChars="200"/>
        <w:rPr>
          <w:sz w:val="24"/>
        </w:rPr>
      </w:pPr>
      <w:r>
        <w:rPr>
          <w:sz w:val="24"/>
        </w:rPr>
        <w:t>（一）</w:t>
      </w:r>
      <w:r>
        <w:rPr>
          <w:rFonts w:hint="eastAsia"/>
          <w:sz w:val="24"/>
        </w:rPr>
        <w:t>奖励标准</w:t>
      </w:r>
      <w:r>
        <w:rPr>
          <w:sz w:val="24"/>
        </w:rPr>
        <w:t xml:space="preserve"> </w:t>
      </w:r>
    </w:p>
    <w:p w14:paraId="4517249A">
      <w:pPr>
        <w:adjustRightInd w:val="0"/>
        <w:snapToGrid w:val="0"/>
        <w:spacing w:line="360" w:lineRule="auto"/>
        <w:ind w:firstLine="480" w:firstLineChars="200"/>
        <w:rPr>
          <w:sz w:val="24"/>
        </w:rPr>
      </w:pPr>
      <w:r>
        <w:rPr>
          <w:sz w:val="24"/>
        </w:rPr>
        <w:t>按照国家</w:t>
      </w:r>
      <w:r>
        <w:rPr>
          <w:rFonts w:hint="eastAsia"/>
          <w:sz w:val="24"/>
        </w:rPr>
        <w:t>规定，硕士研究生国</w:t>
      </w:r>
      <w:r>
        <w:rPr>
          <w:sz w:val="24"/>
        </w:rPr>
        <w:t>家</w:t>
      </w:r>
      <w:r>
        <w:rPr>
          <w:rFonts w:hint="eastAsia"/>
          <w:sz w:val="24"/>
        </w:rPr>
        <w:t>奖学金每生每年</w:t>
      </w:r>
      <w:r>
        <w:rPr>
          <w:sz w:val="24"/>
        </w:rPr>
        <w:t xml:space="preserve"> 2 万元。 </w:t>
      </w:r>
    </w:p>
    <w:p w14:paraId="7A50EE47">
      <w:pPr>
        <w:adjustRightInd w:val="0"/>
        <w:snapToGrid w:val="0"/>
        <w:spacing w:line="360" w:lineRule="auto"/>
        <w:ind w:firstLine="480" w:firstLineChars="200"/>
        <w:rPr>
          <w:sz w:val="24"/>
        </w:rPr>
      </w:pPr>
      <w:r>
        <w:rPr>
          <w:sz w:val="24"/>
        </w:rPr>
        <w:t>（二）</w:t>
      </w:r>
      <w:r>
        <w:rPr>
          <w:rFonts w:hint="eastAsia"/>
          <w:sz w:val="24"/>
        </w:rPr>
        <w:t>评审原则</w:t>
      </w:r>
      <w:r>
        <w:rPr>
          <w:sz w:val="24"/>
        </w:rPr>
        <w:t xml:space="preserve"> </w:t>
      </w:r>
    </w:p>
    <w:p w14:paraId="50925981">
      <w:pPr>
        <w:adjustRightInd w:val="0"/>
        <w:snapToGrid w:val="0"/>
        <w:spacing w:line="360" w:lineRule="auto"/>
        <w:ind w:firstLine="480" w:firstLineChars="200"/>
        <w:rPr>
          <w:sz w:val="24"/>
        </w:rPr>
      </w:pPr>
      <w:r>
        <w:rPr>
          <w:sz w:val="24"/>
        </w:rPr>
        <w:t xml:space="preserve">1. </w:t>
      </w:r>
      <w:r>
        <w:rPr>
          <w:rFonts w:hint="eastAsia"/>
          <w:sz w:val="24"/>
        </w:rPr>
        <w:t>硕士研究生</w:t>
      </w:r>
      <w:r>
        <w:rPr>
          <w:sz w:val="24"/>
        </w:rPr>
        <w:t>重点关注学生的科研成果、</w:t>
      </w:r>
      <w:r>
        <w:rPr>
          <w:rFonts w:hint="eastAsia"/>
          <w:sz w:val="24"/>
        </w:rPr>
        <w:t>论文的进展情况和参加科</w:t>
      </w:r>
      <w:r>
        <w:rPr>
          <w:sz w:val="24"/>
        </w:rPr>
        <w:t>研工作的情况，兼</w:t>
      </w:r>
      <w:r>
        <w:rPr>
          <w:rFonts w:hint="eastAsia"/>
          <w:sz w:val="24"/>
        </w:rPr>
        <w:t>顾各系、所的均衡情况。</w:t>
      </w:r>
    </w:p>
    <w:p w14:paraId="62D6AE27">
      <w:pPr>
        <w:adjustRightInd w:val="0"/>
        <w:snapToGrid w:val="0"/>
        <w:spacing w:line="360" w:lineRule="auto"/>
        <w:ind w:firstLine="480" w:firstLineChars="200"/>
        <w:rPr>
          <w:sz w:val="24"/>
        </w:rPr>
      </w:pPr>
      <w:r>
        <w:rPr>
          <w:sz w:val="24"/>
        </w:rPr>
        <w:t>2.</w:t>
      </w:r>
      <w:r>
        <w:rPr>
          <w:rFonts w:hint="eastAsia"/>
          <w:sz w:val="24"/>
        </w:rPr>
        <w:t xml:space="preserve"> </w:t>
      </w:r>
      <w:r>
        <w:rPr>
          <w:sz w:val="24"/>
        </w:rPr>
        <w:t>国家</w:t>
      </w:r>
      <w:r>
        <w:rPr>
          <w:rFonts w:hint="eastAsia"/>
          <w:sz w:val="24"/>
        </w:rPr>
        <w:t>奖学金的评选综合考虑研究生德育表现、科研能力、科研工作成绩、工程技术创新创造能力、学习成绩、论文进展等方面，并向学术性强、</w:t>
      </w:r>
      <w:r>
        <w:rPr>
          <w:sz w:val="24"/>
        </w:rPr>
        <w:t>在学校科研工作中</w:t>
      </w:r>
      <w:r>
        <w:rPr>
          <w:rFonts w:hint="eastAsia"/>
          <w:sz w:val="24"/>
        </w:rPr>
        <w:t>发挥作用大的学生倾斜；按照学校的奖学金总体名额和相应比例进行分类评审。</w:t>
      </w:r>
    </w:p>
    <w:p w14:paraId="24CC496E">
      <w:pPr>
        <w:adjustRightInd w:val="0"/>
        <w:snapToGrid w:val="0"/>
        <w:spacing w:line="360" w:lineRule="auto"/>
        <w:ind w:firstLine="480" w:firstLineChars="200"/>
        <w:rPr>
          <w:sz w:val="24"/>
        </w:rPr>
      </w:pPr>
      <w:r>
        <w:rPr>
          <w:sz w:val="24"/>
        </w:rPr>
        <w:t>3.</w:t>
      </w:r>
      <w:r>
        <w:rPr>
          <w:rFonts w:hint="eastAsia"/>
          <w:sz w:val="24"/>
        </w:rPr>
        <w:t xml:space="preserve"> </w:t>
      </w:r>
      <w:r>
        <w:rPr>
          <w:sz w:val="24"/>
        </w:rPr>
        <w:t>所有的用于参</w:t>
      </w:r>
      <w:r>
        <w:rPr>
          <w:rFonts w:hint="eastAsia"/>
          <w:sz w:val="24"/>
        </w:rPr>
        <w:t>评的成果均要求第一单位为“哈尔滨工业大学；</w:t>
      </w:r>
      <w:r>
        <w:rPr>
          <w:sz w:val="24"/>
        </w:rPr>
        <w:t>哈尔</w:t>
      </w:r>
      <w:r>
        <w:rPr>
          <w:rFonts w:hint="eastAsia"/>
          <w:sz w:val="24"/>
        </w:rPr>
        <w:t>滨工业大学（威海）”</w:t>
      </w:r>
      <w:r>
        <w:rPr>
          <w:sz w:val="24"/>
        </w:rPr>
        <w:t>，且均</w:t>
      </w:r>
      <w:r>
        <w:rPr>
          <w:rFonts w:hint="eastAsia"/>
          <w:sz w:val="24"/>
        </w:rPr>
        <w:t>应为当前所读学籍期间获得。</w:t>
      </w:r>
      <w:r>
        <w:rPr>
          <w:sz w:val="24"/>
        </w:rPr>
        <w:t xml:space="preserve"> </w:t>
      </w:r>
    </w:p>
    <w:p w14:paraId="155F14D7">
      <w:pPr>
        <w:adjustRightInd w:val="0"/>
        <w:snapToGrid w:val="0"/>
        <w:spacing w:line="360" w:lineRule="auto"/>
        <w:ind w:firstLine="480" w:firstLineChars="200"/>
        <w:rPr>
          <w:sz w:val="24"/>
        </w:rPr>
      </w:pPr>
      <w:r>
        <w:rPr>
          <w:sz w:val="24"/>
        </w:rPr>
        <w:t>4.</w:t>
      </w:r>
      <w:r>
        <w:rPr>
          <w:rFonts w:hint="eastAsia"/>
          <w:sz w:val="24"/>
        </w:rPr>
        <w:t>专业学位研究生国家奖学金评审重点考察参与实际工程项目研发的工作量、取得的实际成效以及项目负责人的评价</w:t>
      </w:r>
    </w:p>
    <w:p w14:paraId="1F2BC8AF">
      <w:pPr>
        <w:adjustRightInd w:val="0"/>
        <w:snapToGrid w:val="0"/>
        <w:spacing w:line="360" w:lineRule="auto"/>
        <w:ind w:firstLine="480" w:firstLineChars="200"/>
        <w:rPr>
          <w:sz w:val="24"/>
        </w:rPr>
      </w:pPr>
      <w:r>
        <w:rPr>
          <w:sz w:val="24"/>
        </w:rPr>
        <w:t>5.</w:t>
      </w:r>
      <w:r>
        <w:rPr>
          <w:rFonts w:hint="eastAsia"/>
          <w:sz w:val="24"/>
        </w:rPr>
        <w:t xml:space="preserve"> </w:t>
      </w:r>
      <w:r>
        <w:rPr>
          <w:sz w:val="24"/>
        </w:rPr>
        <w:t>研究生国家</w:t>
      </w:r>
      <w:r>
        <w:rPr>
          <w:rFonts w:hint="eastAsia"/>
          <w:sz w:val="24"/>
        </w:rPr>
        <w:t>奖学金的评审工作，坚持公开、公平、公正、择优的原则，</w:t>
      </w:r>
      <w:r>
        <w:rPr>
          <w:sz w:val="24"/>
        </w:rPr>
        <w:t xml:space="preserve"> </w:t>
      </w:r>
      <w:r>
        <w:rPr>
          <w:rFonts w:hint="eastAsia"/>
          <w:sz w:val="24"/>
        </w:rPr>
        <w:t>严格执行有关规定，坚决杜绝弄虚作假。</w:t>
      </w:r>
      <w:r>
        <w:rPr>
          <w:sz w:val="24"/>
        </w:rPr>
        <w:t xml:space="preserve"> </w:t>
      </w:r>
    </w:p>
    <w:p w14:paraId="740EEBF8">
      <w:pPr>
        <w:adjustRightInd w:val="0"/>
        <w:snapToGrid w:val="0"/>
        <w:spacing w:line="360" w:lineRule="auto"/>
        <w:ind w:firstLine="480" w:firstLineChars="200"/>
        <w:rPr>
          <w:sz w:val="24"/>
        </w:rPr>
      </w:pPr>
      <w:r>
        <w:rPr>
          <w:sz w:val="24"/>
        </w:rPr>
        <w:t>6.</w:t>
      </w:r>
      <w:r>
        <w:rPr>
          <w:rFonts w:hint="eastAsia"/>
          <w:sz w:val="24"/>
        </w:rPr>
        <w:t xml:space="preserve"> </w:t>
      </w:r>
      <w:r>
        <w:rPr>
          <w:sz w:val="24"/>
        </w:rPr>
        <w:t>本</w:t>
      </w:r>
      <w:r>
        <w:rPr>
          <w:rFonts w:hint="eastAsia"/>
          <w:sz w:val="24"/>
        </w:rPr>
        <w:t>细则如有与国家、省及学校文件相冲突时，以上级文件为准。</w:t>
      </w:r>
    </w:p>
    <w:p w14:paraId="3F74B9BE">
      <w:pPr>
        <w:adjustRightInd w:val="0"/>
        <w:snapToGrid w:val="0"/>
        <w:spacing w:line="360" w:lineRule="auto"/>
        <w:ind w:firstLine="480" w:firstLineChars="200"/>
        <w:rPr>
          <w:sz w:val="24"/>
        </w:rPr>
      </w:pPr>
      <w:r>
        <w:rPr>
          <w:rFonts w:hint="eastAsia"/>
          <w:sz w:val="24"/>
        </w:rPr>
        <w:t>三、汽车工程学院国家奖学金评审委员会</w:t>
      </w:r>
    </w:p>
    <w:p w14:paraId="6BBB5B77">
      <w:pPr>
        <w:adjustRightInd w:val="0"/>
        <w:snapToGrid w:val="0"/>
        <w:spacing w:line="360" w:lineRule="auto"/>
        <w:ind w:firstLine="480" w:firstLineChars="200"/>
        <w:rPr>
          <w:sz w:val="24"/>
        </w:rPr>
      </w:pPr>
      <w:r>
        <w:rPr>
          <w:rFonts w:hint="eastAsia"/>
          <w:sz w:val="24"/>
        </w:rPr>
        <w:t>（一）评审委员会组成</w:t>
      </w:r>
    </w:p>
    <w:p w14:paraId="1FED8E19">
      <w:pPr>
        <w:adjustRightInd w:val="0"/>
        <w:snapToGrid w:val="0"/>
        <w:spacing w:line="360" w:lineRule="auto"/>
        <w:ind w:firstLine="480" w:firstLineChars="200"/>
        <w:rPr>
          <w:sz w:val="24"/>
        </w:rPr>
      </w:pPr>
      <w:r>
        <w:rPr>
          <w:rFonts w:hint="eastAsia"/>
          <w:sz w:val="24"/>
        </w:rPr>
        <w:t>汽车工程学院研究生国家奖学金评审委员会由学院院长、研究生导师、相关管理人员、学生代表等组成。</w:t>
      </w:r>
    </w:p>
    <w:p w14:paraId="77712AB9">
      <w:pPr>
        <w:adjustRightInd w:val="0"/>
        <w:snapToGrid w:val="0"/>
        <w:spacing w:line="360" w:lineRule="auto"/>
        <w:ind w:firstLine="480" w:firstLineChars="200"/>
        <w:rPr>
          <w:sz w:val="24"/>
        </w:rPr>
      </w:pPr>
      <w:r>
        <w:rPr>
          <w:rFonts w:hint="eastAsia"/>
          <w:sz w:val="24"/>
        </w:rPr>
        <w:t>主任委员：王大方</w:t>
      </w:r>
    </w:p>
    <w:p w14:paraId="2C037672">
      <w:pPr>
        <w:adjustRightInd w:val="0"/>
        <w:snapToGrid w:val="0"/>
        <w:spacing w:line="360" w:lineRule="auto"/>
        <w:ind w:firstLine="480" w:firstLineChars="200"/>
        <w:rPr>
          <w:sz w:val="24"/>
        </w:rPr>
      </w:pPr>
      <w:r>
        <w:rPr>
          <w:rFonts w:hint="eastAsia"/>
          <w:sz w:val="24"/>
        </w:rPr>
        <w:t>委员：王剑锋、冷军强、隋海瑞、刘涛、马琮淦、学生1、学生2（不少于7人）。</w:t>
      </w:r>
    </w:p>
    <w:p w14:paraId="5685E4A7">
      <w:pPr>
        <w:adjustRightInd w:val="0"/>
        <w:snapToGrid w:val="0"/>
        <w:spacing w:line="360" w:lineRule="auto"/>
        <w:ind w:firstLine="480" w:firstLineChars="200"/>
        <w:rPr>
          <w:sz w:val="24"/>
        </w:rPr>
      </w:pPr>
      <w:r>
        <w:rPr>
          <w:rFonts w:hint="eastAsia"/>
          <w:sz w:val="24"/>
        </w:rPr>
        <w:t>（二）评审委员会职责</w:t>
      </w:r>
    </w:p>
    <w:p w14:paraId="4810557B">
      <w:pPr>
        <w:adjustRightInd w:val="0"/>
        <w:snapToGrid w:val="0"/>
        <w:spacing w:line="360" w:lineRule="auto"/>
        <w:ind w:firstLine="480" w:firstLineChars="200"/>
        <w:rPr>
          <w:sz w:val="24"/>
        </w:rPr>
      </w:pPr>
      <w:r>
        <w:rPr>
          <w:rFonts w:hint="eastAsia"/>
          <w:sz w:val="24"/>
        </w:rPr>
        <w:t>评审委员会根据学校要求制定汽车工程学院研究生国家奖学金的评审细则，并负责组织申报和评审等工作。</w:t>
      </w:r>
    </w:p>
    <w:p w14:paraId="1BE3BA99">
      <w:pPr>
        <w:adjustRightInd w:val="0"/>
        <w:snapToGrid w:val="0"/>
        <w:spacing w:line="360" w:lineRule="auto"/>
        <w:ind w:firstLine="482" w:firstLineChars="200"/>
        <w:rPr>
          <w:b/>
          <w:bCs/>
          <w:sz w:val="24"/>
        </w:rPr>
      </w:pPr>
      <w:r>
        <w:rPr>
          <w:rFonts w:hint="eastAsia"/>
          <w:b/>
          <w:bCs/>
          <w:sz w:val="24"/>
        </w:rPr>
        <w:t>四、评选流程</w:t>
      </w:r>
    </w:p>
    <w:p w14:paraId="0A7A487E">
      <w:pPr>
        <w:adjustRightInd w:val="0"/>
        <w:snapToGrid w:val="0"/>
        <w:spacing w:line="360" w:lineRule="auto"/>
        <w:ind w:firstLine="480" w:firstLineChars="200"/>
        <w:rPr>
          <w:sz w:val="24"/>
        </w:rPr>
      </w:pPr>
      <w:r>
        <w:rPr>
          <w:rFonts w:hint="eastAsia"/>
          <w:sz w:val="24"/>
        </w:rPr>
        <w:t>（一）申请</w:t>
      </w:r>
    </w:p>
    <w:p w14:paraId="403081B2">
      <w:pPr>
        <w:adjustRightInd w:val="0"/>
        <w:snapToGrid w:val="0"/>
        <w:spacing w:line="360" w:lineRule="auto"/>
        <w:ind w:firstLine="480" w:firstLineChars="200"/>
        <w:rPr>
          <w:sz w:val="24"/>
        </w:rPr>
      </w:pPr>
      <w:r>
        <w:rPr>
          <w:sz w:val="24"/>
        </w:rPr>
        <w:t>符合申</w:t>
      </w:r>
      <w:r>
        <w:rPr>
          <w:rFonts w:hint="eastAsia"/>
          <w:sz w:val="24"/>
        </w:rPr>
        <w:t>报条件的优秀硕士研究生均可申请研究生国家奖学金。申请人应按照《研究生国家奖学金申请审批表》填表说明选择对应的《硕士研究生国家奖学金申请审批表》如实</w:t>
      </w:r>
      <w:r>
        <w:rPr>
          <w:sz w:val="24"/>
        </w:rPr>
        <w:t>填写，</w:t>
      </w:r>
      <w:r>
        <w:rPr>
          <w:rFonts w:hint="eastAsia"/>
          <w:sz w:val="24"/>
        </w:rPr>
        <w:t>经导师给出推荐意见并签字后，提交到汽车</w:t>
      </w:r>
      <w:r>
        <w:rPr>
          <w:sz w:val="24"/>
        </w:rPr>
        <w:t>学院</w:t>
      </w:r>
      <w:r>
        <w:rPr>
          <w:rFonts w:hint="eastAsia"/>
          <w:sz w:val="24"/>
        </w:rPr>
        <w:t>评审委员会（研究院南205</w:t>
      </w:r>
      <w:r>
        <w:rPr>
          <w:sz w:val="24"/>
        </w:rPr>
        <w:t>，</w:t>
      </w:r>
      <w:r>
        <w:rPr>
          <w:rFonts w:hint="eastAsia"/>
          <w:sz w:val="24"/>
        </w:rPr>
        <w:t>宋</w:t>
      </w:r>
      <w:r>
        <w:rPr>
          <w:sz w:val="24"/>
        </w:rPr>
        <w:t>老</w:t>
      </w:r>
      <w:r>
        <w:rPr>
          <w:rFonts w:hint="eastAsia"/>
          <w:sz w:val="24"/>
        </w:rPr>
        <w:t>师）。</w:t>
      </w:r>
    </w:p>
    <w:p w14:paraId="5D540361">
      <w:pPr>
        <w:adjustRightInd w:val="0"/>
        <w:snapToGrid w:val="0"/>
        <w:spacing w:line="360" w:lineRule="auto"/>
        <w:ind w:firstLine="480" w:firstLineChars="200"/>
        <w:rPr>
          <w:sz w:val="24"/>
        </w:rPr>
      </w:pPr>
      <w:r>
        <w:rPr>
          <w:rFonts w:hint="eastAsia"/>
          <w:sz w:val="24"/>
        </w:rPr>
        <w:t>（二）院（系）初评</w:t>
      </w:r>
    </w:p>
    <w:p w14:paraId="793B8D5C">
      <w:pPr>
        <w:adjustRightInd w:val="0"/>
        <w:snapToGrid w:val="0"/>
        <w:spacing w:line="360" w:lineRule="auto"/>
        <w:ind w:firstLine="480" w:firstLineChars="200"/>
        <w:rPr>
          <w:sz w:val="24"/>
        </w:rPr>
      </w:pPr>
      <w:r>
        <w:rPr>
          <w:rFonts w:hint="eastAsia"/>
          <w:sz w:val="24"/>
        </w:rPr>
        <w:t>评审委员会公示学生材料，根据申请人的情况进行初审，按校区分配的候选人指标上报进入复评的候选人名单，学院将经过公示的初评结果报送校威海校区研究生国家奖学金评审委员会。</w:t>
      </w:r>
    </w:p>
    <w:p w14:paraId="1BEA3824">
      <w:pPr>
        <w:adjustRightInd w:val="0"/>
        <w:snapToGrid w:val="0"/>
        <w:spacing w:line="360" w:lineRule="auto"/>
        <w:ind w:firstLine="480" w:firstLineChars="200"/>
        <w:rPr>
          <w:sz w:val="24"/>
        </w:rPr>
      </w:pPr>
      <w:r>
        <w:rPr>
          <w:rFonts w:hint="eastAsia"/>
          <w:sz w:val="24"/>
        </w:rPr>
        <w:t>（三）校区复评</w:t>
      </w:r>
    </w:p>
    <w:p w14:paraId="6B0167F7">
      <w:pPr>
        <w:adjustRightInd w:val="0"/>
        <w:snapToGrid w:val="0"/>
        <w:spacing w:line="360" w:lineRule="auto"/>
        <w:ind w:firstLine="480" w:firstLineChars="200"/>
        <w:rPr>
          <w:rFonts w:cs="Tahoma" w:asciiTheme="minorEastAsia" w:hAnsiTheme="minorEastAsia"/>
          <w:sz w:val="24"/>
        </w:rPr>
      </w:pPr>
      <w:r>
        <w:rPr>
          <w:rFonts w:hint="eastAsia" w:cs="Tahoma" w:asciiTheme="minorEastAsia" w:hAnsiTheme="minorEastAsia"/>
          <w:sz w:val="24"/>
        </w:rPr>
        <w:t>校区评审委员会成立专家组，统一组织复评，评审委员会主任委员任组长并主持复评。复评以答辩的方式进行，参评学生需准备PPT介绍个人情况并回答评委的提问，评委以现场投票方式确定获奖学生名单。答辩环节可允许其他研究生旁听。</w:t>
      </w:r>
    </w:p>
    <w:p w14:paraId="5F99090D">
      <w:pPr>
        <w:adjustRightInd w:val="0"/>
        <w:snapToGrid w:val="0"/>
        <w:spacing w:line="360" w:lineRule="auto"/>
        <w:ind w:firstLine="480" w:firstLineChars="200"/>
        <w:rPr>
          <w:sz w:val="24"/>
        </w:rPr>
      </w:pPr>
      <w:r>
        <w:rPr>
          <w:sz w:val="24"/>
        </w:rPr>
        <w:t>（</w:t>
      </w:r>
      <w:r>
        <w:rPr>
          <w:rFonts w:hint="eastAsia"/>
          <w:sz w:val="24"/>
        </w:rPr>
        <w:t>四</w:t>
      </w:r>
      <w:r>
        <w:rPr>
          <w:sz w:val="24"/>
        </w:rPr>
        <w:t>）</w:t>
      </w:r>
      <w:r>
        <w:rPr>
          <w:rFonts w:hint="eastAsia"/>
          <w:sz w:val="24"/>
        </w:rPr>
        <w:t>校区公示</w:t>
      </w:r>
    </w:p>
    <w:p w14:paraId="6F8FCFC7">
      <w:pPr>
        <w:adjustRightInd w:val="0"/>
        <w:snapToGrid w:val="0"/>
        <w:spacing w:line="360" w:lineRule="auto"/>
        <w:ind w:firstLine="480" w:firstLineChars="200"/>
        <w:rPr>
          <w:sz w:val="24"/>
        </w:rPr>
      </w:pPr>
      <w:r>
        <w:rPr>
          <w:rFonts w:hint="eastAsia" w:cs="Tahoma" w:asciiTheme="minorEastAsia" w:hAnsiTheme="minorEastAsia"/>
          <w:sz w:val="24"/>
        </w:rPr>
        <w:t>校区对获奖学生名单进行不少于</w:t>
      </w:r>
      <w:r>
        <w:rPr>
          <w:rFonts w:cs="Tahoma" w:asciiTheme="minorEastAsia" w:hAnsiTheme="minorEastAsia"/>
          <w:sz w:val="24"/>
        </w:rPr>
        <w:t>5</w:t>
      </w:r>
      <w:r>
        <w:rPr>
          <w:rFonts w:hint="eastAsia" w:cs="Tahoma" w:asciiTheme="minorEastAsia" w:hAnsiTheme="minorEastAsia"/>
          <w:sz w:val="24"/>
        </w:rPr>
        <w:t>个工作日的公示，公示无异议后提交研究生院。研究生院对全校获奖学生名单进行不少于5个工作日的公示，经学校研究生国家奖学金评审领导小组审定后，最终获奖名单报送上级主管部门。</w:t>
      </w:r>
    </w:p>
    <w:p w14:paraId="367846EF">
      <w:pPr>
        <w:adjustRightInd w:val="0"/>
        <w:snapToGrid w:val="0"/>
        <w:spacing w:line="360" w:lineRule="auto"/>
        <w:ind w:firstLine="480" w:firstLineChars="200"/>
        <w:rPr>
          <w:sz w:val="24"/>
        </w:rPr>
      </w:pPr>
      <w:r>
        <w:rPr>
          <w:rFonts w:hint="eastAsia"/>
          <w:sz w:val="24"/>
        </w:rPr>
        <w:t>（五）奖金及证书颁发</w:t>
      </w:r>
      <w:r>
        <w:rPr>
          <w:sz w:val="24"/>
        </w:rPr>
        <w:t xml:space="preserve"> </w:t>
      </w:r>
    </w:p>
    <w:p w14:paraId="41B48E3C">
      <w:pPr>
        <w:adjustRightInd w:val="0"/>
        <w:snapToGrid w:val="0"/>
        <w:spacing w:line="360" w:lineRule="auto"/>
        <w:ind w:firstLine="480" w:firstLineChars="200"/>
        <w:rPr>
          <w:sz w:val="24"/>
        </w:rPr>
      </w:pPr>
      <w:r>
        <w:rPr>
          <w:sz w:val="24"/>
        </w:rPr>
        <w:t>研究生国家</w:t>
      </w:r>
      <w:r>
        <w:rPr>
          <w:rFonts w:hint="eastAsia"/>
          <w:sz w:val="24"/>
        </w:rPr>
        <w:t>奖学金一次性发放给获奖学生，并颁发国家统一印制的荣誉证书，并将研究生获得国家奖学金情况记入学生学籍档案。</w:t>
      </w:r>
    </w:p>
    <w:p w14:paraId="6C459350">
      <w:pPr>
        <w:adjustRightInd w:val="0"/>
        <w:snapToGrid w:val="0"/>
        <w:spacing w:line="360" w:lineRule="auto"/>
        <w:ind w:firstLine="482" w:firstLineChars="200"/>
        <w:rPr>
          <w:b/>
          <w:bCs/>
          <w:sz w:val="24"/>
        </w:rPr>
      </w:pPr>
      <w:r>
        <w:rPr>
          <w:rFonts w:hint="eastAsia"/>
          <w:b/>
          <w:bCs/>
          <w:sz w:val="24"/>
        </w:rPr>
        <w:t>五、异议处理及相关要求</w:t>
      </w:r>
    </w:p>
    <w:p w14:paraId="38A6CFDF">
      <w:pPr>
        <w:adjustRightInd w:val="0"/>
        <w:snapToGrid w:val="0"/>
        <w:spacing w:line="360" w:lineRule="auto"/>
        <w:ind w:firstLine="480" w:firstLineChars="200"/>
        <w:rPr>
          <w:sz w:val="24"/>
        </w:rPr>
      </w:pPr>
      <w:r>
        <w:rPr>
          <w:rFonts w:hint="eastAsia"/>
          <w:sz w:val="24"/>
        </w:rPr>
        <w:t>（一）对学院初评结果有异议的学生，可在学院公示阶段向所在学院评审委员会提出申诉，学院评审委员会应及时核实情况并予以答复；如学生对学院评审委员会做出的答复仍存在异议可向校区评审委员会提请裁决。</w:t>
      </w:r>
    </w:p>
    <w:p w14:paraId="352693FF">
      <w:pPr>
        <w:adjustRightInd w:val="0"/>
        <w:snapToGrid w:val="0"/>
        <w:spacing w:line="360" w:lineRule="auto"/>
        <w:ind w:firstLine="480" w:firstLineChars="200"/>
        <w:rPr>
          <w:sz w:val="24"/>
        </w:rPr>
      </w:pPr>
      <w:r>
        <w:rPr>
          <w:rFonts w:hint="eastAsia"/>
          <w:sz w:val="24"/>
        </w:rPr>
        <w:t>（二）对校区复评结果有异议的学生，可在校区公示阶段向校区评审委员会提出申诉，如学生对校区评审委员会做出的答复仍存在异议，可在学校公示阶段向学校研究生国家奖学金评审领导小组提请裁决。</w:t>
      </w:r>
    </w:p>
    <w:p w14:paraId="2A1A8A5C">
      <w:pPr>
        <w:adjustRightInd w:val="0"/>
        <w:snapToGrid w:val="0"/>
        <w:spacing w:line="360" w:lineRule="auto"/>
        <w:ind w:firstLine="480" w:firstLineChars="200"/>
        <w:rPr>
          <w:sz w:val="24"/>
        </w:rPr>
      </w:pPr>
      <w:r>
        <w:rPr>
          <w:rFonts w:hint="eastAsia"/>
          <w:sz w:val="24"/>
        </w:rPr>
        <w:t>（三）研究生国家奖学金的评审工作，坚持公开、公平、公正、择优的原则，严格执行有关规定，杜绝弄虚作假。</w:t>
      </w:r>
    </w:p>
    <w:p w14:paraId="573AA3D7">
      <w:pPr>
        <w:adjustRightInd w:val="0"/>
        <w:snapToGrid w:val="0"/>
        <w:spacing w:line="360" w:lineRule="auto"/>
        <w:ind w:firstLine="480" w:firstLineChars="200"/>
        <w:rPr>
          <w:sz w:val="24"/>
        </w:rPr>
      </w:pPr>
      <w:r>
        <w:rPr>
          <w:rFonts w:hint="eastAsia"/>
          <w:sz w:val="24"/>
        </w:rPr>
        <w:t>其他要求详见校区研究生处相关通知。</w:t>
      </w:r>
    </w:p>
    <w:p w14:paraId="0026F7A8">
      <w:pPr>
        <w:adjustRightInd w:val="0"/>
        <w:snapToGrid w:val="0"/>
        <w:spacing w:line="360" w:lineRule="auto"/>
        <w:ind w:firstLine="200"/>
        <w:rPr>
          <w:b/>
          <w:bCs/>
          <w:sz w:val="24"/>
        </w:rPr>
      </w:pPr>
      <w:r>
        <w:rPr>
          <w:rFonts w:hint="eastAsia" w:cs="宋体"/>
          <w:b/>
          <w:bCs/>
          <w:sz w:val="24"/>
        </w:rPr>
        <w:t>六、工作安排</w:t>
      </w:r>
    </w:p>
    <w:p w14:paraId="79328977">
      <w:pPr>
        <w:adjustRightInd w:val="0"/>
        <w:snapToGrid w:val="0"/>
        <w:spacing w:line="360" w:lineRule="auto"/>
        <w:ind w:firstLine="480" w:firstLineChars="200"/>
        <w:rPr>
          <w:sz w:val="24"/>
        </w:rPr>
      </w:pPr>
      <w:r>
        <w:rPr>
          <w:sz w:val="24"/>
        </w:rPr>
        <w:t>学生提交申</w:t>
      </w:r>
      <w:r>
        <w:rPr>
          <w:rFonts w:hint="eastAsia"/>
          <w:sz w:val="24"/>
        </w:rPr>
        <w:t>请材料；学生材料公示（研究院南</w:t>
      </w:r>
      <w:r>
        <w:rPr>
          <w:sz w:val="24"/>
        </w:rPr>
        <w:t xml:space="preserve"> 205）；材料</w:t>
      </w:r>
      <w:r>
        <w:rPr>
          <w:rFonts w:hint="eastAsia"/>
          <w:sz w:val="24"/>
        </w:rPr>
        <w:t>预审；</w:t>
      </w:r>
      <w:r>
        <w:rPr>
          <w:sz w:val="24"/>
        </w:rPr>
        <w:t xml:space="preserve"> </w:t>
      </w:r>
      <w:r>
        <w:rPr>
          <w:rFonts w:hint="eastAsia"/>
          <w:sz w:val="24"/>
        </w:rPr>
        <w:t>学院</w:t>
      </w:r>
      <w:r>
        <w:rPr>
          <w:sz w:val="24"/>
        </w:rPr>
        <w:t>初</w:t>
      </w:r>
      <w:r>
        <w:rPr>
          <w:rFonts w:hint="eastAsia"/>
          <w:sz w:val="24"/>
        </w:rPr>
        <w:t>评和复评；学院公示获奖学生名单并将学院</w:t>
      </w:r>
      <w:r>
        <w:rPr>
          <w:sz w:val="24"/>
        </w:rPr>
        <w:t>《</w:t>
      </w:r>
      <w:r>
        <w:rPr>
          <w:rFonts w:hint="eastAsia"/>
          <w:sz w:val="24"/>
        </w:rPr>
        <w:t>硕士研究生国家奖学金申请审批表》（附件</w:t>
      </w:r>
      <w:r>
        <w:rPr>
          <w:sz w:val="24"/>
        </w:rPr>
        <w:t xml:space="preserve"> </w:t>
      </w:r>
      <w:r>
        <w:rPr>
          <w:rFonts w:hint="eastAsia"/>
          <w:sz w:val="24"/>
        </w:rPr>
        <w:t>2</w:t>
      </w:r>
      <w:r>
        <w:rPr>
          <w:sz w:val="24"/>
        </w:rPr>
        <w:t>）</w:t>
      </w:r>
      <w:r>
        <w:rPr>
          <w:rFonts w:hint="eastAsia"/>
          <w:sz w:val="24"/>
        </w:rPr>
        <w:t>和</w:t>
      </w:r>
      <w:r>
        <w:rPr>
          <w:sz w:val="24"/>
        </w:rPr>
        <w:t>《</w:t>
      </w:r>
      <w:r>
        <w:rPr>
          <w:rFonts w:hint="eastAsia"/>
          <w:sz w:val="24"/>
        </w:rPr>
        <w:t>硕士研究生国家奖学</w:t>
      </w:r>
      <w:r>
        <w:rPr>
          <w:sz w:val="24"/>
        </w:rPr>
        <w:t>金</w:t>
      </w:r>
      <w:r>
        <w:rPr>
          <w:rFonts w:hint="eastAsia"/>
          <w:sz w:val="24"/>
        </w:rPr>
        <w:t>获奖学生汇总表》（附件</w:t>
      </w:r>
      <w:r>
        <w:rPr>
          <w:sz w:val="24"/>
        </w:rPr>
        <w:t xml:space="preserve"> </w:t>
      </w:r>
      <w:r>
        <w:rPr>
          <w:rFonts w:hint="eastAsia"/>
          <w:sz w:val="24"/>
        </w:rPr>
        <w:t>3</w:t>
      </w:r>
      <w:r>
        <w:rPr>
          <w:sz w:val="24"/>
        </w:rPr>
        <w:t>）（</w:t>
      </w:r>
      <w:r>
        <w:rPr>
          <w:rFonts w:hint="eastAsia"/>
          <w:sz w:val="24"/>
        </w:rPr>
        <w:t>电子版和文字版）报送校区评审领导小组；校区复评，报送获奖名单给学校研究生院。</w:t>
      </w:r>
      <w:r>
        <w:rPr>
          <w:sz w:val="24"/>
        </w:rPr>
        <w:t>学校公示</w:t>
      </w:r>
      <w:r>
        <w:rPr>
          <w:rFonts w:hint="eastAsia"/>
          <w:sz w:val="24"/>
        </w:rPr>
        <w:t>获奖学生名单；学校评审领导小组审核获奖学生名单，</w:t>
      </w:r>
      <w:r>
        <w:rPr>
          <w:sz w:val="24"/>
        </w:rPr>
        <w:t xml:space="preserve"> 并</w:t>
      </w:r>
      <w:r>
        <w:rPr>
          <w:rFonts w:hint="eastAsia"/>
          <w:sz w:val="24"/>
        </w:rPr>
        <w:t>报送工信部、教育部。</w:t>
      </w:r>
    </w:p>
    <w:p w14:paraId="7CC031E2">
      <w:pPr>
        <w:spacing w:line="360" w:lineRule="auto"/>
        <w:ind w:firstLine="480" w:firstLineChars="200"/>
        <w:rPr>
          <w:rFonts w:cs="Tahoma" w:asciiTheme="minorEastAsia" w:hAnsiTheme="minorEastAsia"/>
          <w:sz w:val="24"/>
        </w:rPr>
      </w:pPr>
      <w:r>
        <w:rPr>
          <w:rFonts w:hint="eastAsia" w:cs="Tahoma" w:asciiTheme="minorEastAsia" w:hAnsiTheme="minorEastAsia"/>
          <w:sz w:val="24"/>
        </w:rPr>
        <w:t>其他未尽事宜按学校相关文件及规定执行，</w:t>
      </w:r>
      <w:r>
        <w:rPr>
          <w:sz w:val="24"/>
        </w:rPr>
        <w:t>本</w:t>
      </w:r>
      <w:r>
        <w:rPr>
          <w:rFonts w:hint="eastAsia" w:cs="宋体"/>
          <w:sz w:val="24"/>
        </w:rPr>
        <w:t>细则</w:t>
      </w:r>
      <w:r>
        <w:rPr>
          <w:rFonts w:hint="eastAsia" w:cs="Yu Gothic Light"/>
          <w:sz w:val="24"/>
        </w:rPr>
        <w:t>由</w:t>
      </w:r>
      <w:r>
        <w:rPr>
          <w:rFonts w:hint="eastAsia"/>
          <w:sz w:val="24"/>
        </w:rPr>
        <w:t>汽</w:t>
      </w:r>
      <w:r>
        <w:rPr>
          <w:rFonts w:hint="eastAsia" w:cs="宋体"/>
          <w:sz w:val="24"/>
        </w:rPr>
        <w:t>车</w:t>
      </w:r>
      <w:r>
        <w:rPr>
          <w:sz w:val="24"/>
        </w:rPr>
        <w:t>工程学院国家</w:t>
      </w:r>
      <w:r>
        <w:rPr>
          <w:rFonts w:hint="eastAsia" w:cs="宋体"/>
          <w:sz w:val="24"/>
        </w:rPr>
        <w:t>奖</w:t>
      </w:r>
      <w:r>
        <w:rPr>
          <w:rFonts w:hint="eastAsia" w:cs="Yu Gothic Light"/>
          <w:sz w:val="24"/>
        </w:rPr>
        <w:t>学金</w:t>
      </w:r>
      <w:r>
        <w:rPr>
          <w:rFonts w:hint="eastAsia" w:cs="宋体"/>
          <w:sz w:val="24"/>
        </w:rPr>
        <w:t>评审</w:t>
      </w:r>
      <w:r>
        <w:rPr>
          <w:rFonts w:hint="eastAsia" w:cs="Yu Gothic Light"/>
          <w:sz w:val="24"/>
        </w:rPr>
        <w:t>委</w:t>
      </w:r>
      <w:r>
        <w:rPr>
          <w:rFonts w:hint="eastAsia" w:cs="宋体"/>
          <w:sz w:val="24"/>
        </w:rPr>
        <w:t>员</w:t>
      </w:r>
      <w:r>
        <w:rPr>
          <w:rFonts w:hint="eastAsia" w:cs="Yu Gothic Light"/>
          <w:sz w:val="24"/>
        </w:rPr>
        <w:t>会</w:t>
      </w:r>
      <w:r>
        <w:rPr>
          <w:rFonts w:hint="eastAsia" w:cs="宋体"/>
          <w:sz w:val="24"/>
        </w:rPr>
        <w:t>负责</w:t>
      </w:r>
      <w:r>
        <w:rPr>
          <w:rFonts w:hint="eastAsia" w:cs="Yu Gothic Light"/>
          <w:sz w:val="24"/>
        </w:rPr>
        <w:t>解</w:t>
      </w:r>
      <w:r>
        <w:rPr>
          <w:rFonts w:hint="eastAsia" w:cs="宋体"/>
          <w:sz w:val="24"/>
        </w:rPr>
        <w:t>释</w:t>
      </w:r>
      <w:r>
        <w:rPr>
          <w:rFonts w:hint="eastAsia" w:cs="Yu Gothic Light"/>
          <w:sz w:val="24"/>
        </w:rPr>
        <w:t>。</w:t>
      </w:r>
    </w:p>
    <w:p w14:paraId="59EDE61F">
      <w:pPr>
        <w:adjustRightInd w:val="0"/>
        <w:snapToGrid w:val="0"/>
        <w:spacing w:line="360" w:lineRule="auto"/>
        <w:ind w:firstLine="480" w:firstLineChars="200"/>
        <w:rPr>
          <w:sz w:val="24"/>
        </w:rPr>
      </w:pPr>
      <w:r>
        <w:rPr>
          <w:rFonts w:hint="eastAsia"/>
          <w:sz w:val="24"/>
        </w:rPr>
        <w:t>联</w:t>
      </w:r>
      <w:r>
        <w:rPr>
          <w:sz w:val="24"/>
        </w:rPr>
        <w:t xml:space="preserve"> 系 人：</w:t>
      </w:r>
      <w:r>
        <w:rPr>
          <w:rFonts w:hint="eastAsia"/>
          <w:sz w:val="24"/>
        </w:rPr>
        <w:t xml:space="preserve">宋翌铎              </w:t>
      </w:r>
    </w:p>
    <w:p w14:paraId="16A22B00">
      <w:pPr>
        <w:adjustRightInd w:val="0"/>
        <w:snapToGrid w:val="0"/>
        <w:spacing w:line="360" w:lineRule="auto"/>
        <w:ind w:firstLine="480" w:firstLineChars="200"/>
        <w:rPr>
          <w:sz w:val="24"/>
        </w:rPr>
      </w:pPr>
      <w:r>
        <w:rPr>
          <w:rFonts w:hint="eastAsia"/>
          <w:sz w:val="24"/>
        </w:rPr>
        <w:t>联系电话：0631-5687021</w:t>
      </w:r>
    </w:p>
    <w:p w14:paraId="13EC6A3F">
      <w:pPr>
        <w:adjustRightInd w:val="0"/>
        <w:snapToGrid w:val="0"/>
        <w:spacing w:line="360" w:lineRule="auto"/>
        <w:rPr>
          <w:sz w:val="24"/>
        </w:rPr>
      </w:pPr>
    </w:p>
    <w:p w14:paraId="54B2B9CF">
      <w:pPr>
        <w:adjustRightInd w:val="0"/>
        <w:snapToGrid w:val="0"/>
        <w:spacing w:line="360" w:lineRule="auto"/>
        <w:rPr>
          <w:sz w:val="24"/>
        </w:rPr>
      </w:pPr>
      <w:r>
        <w:rPr>
          <w:sz w:val="24"/>
        </w:rPr>
        <w:t>附件</w:t>
      </w:r>
      <w:r>
        <w:rPr>
          <w:rFonts w:hint="eastAsia"/>
          <w:sz w:val="24"/>
        </w:rPr>
        <w:t xml:space="preserve">：  </w:t>
      </w:r>
      <w:r>
        <w:rPr>
          <w:sz w:val="24"/>
        </w:rPr>
        <w:t>1、</w:t>
      </w:r>
      <w:r>
        <w:rPr>
          <w:rFonts w:hint="eastAsia"/>
          <w:sz w:val="24"/>
        </w:rPr>
        <w:t xml:space="preserve"> 研究生国家奖学金德育综合表现评定原则</w:t>
      </w:r>
      <w:r>
        <w:rPr>
          <w:sz w:val="24"/>
        </w:rPr>
        <w:t xml:space="preserve"> </w:t>
      </w:r>
    </w:p>
    <w:p w14:paraId="3CC2F781">
      <w:pPr>
        <w:adjustRightInd w:val="0"/>
        <w:snapToGrid w:val="0"/>
        <w:spacing w:line="360" w:lineRule="auto"/>
        <w:ind w:firstLine="960" w:firstLineChars="400"/>
        <w:rPr>
          <w:sz w:val="24"/>
        </w:rPr>
      </w:pPr>
      <w:r>
        <w:rPr>
          <w:rFonts w:hint="eastAsia"/>
          <w:sz w:val="24"/>
        </w:rPr>
        <w:t>2</w:t>
      </w:r>
      <w:r>
        <w:rPr>
          <w:sz w:val="24"/>
        </w:rPr>
        <w:t xml:space="preserve">、 </w:t>
      </w:r>
      <w:r>
        <w:rPr>
          <w:rFonts w:hint="eastAsia" w:cs="宋体"/>
          <w:sz w:val="24"/>
        </w:rPr>
        <w:t>硕</w:t>
      </w:r>
      <w:r>
        <w:rPr>
          <w:rFonts w:hint="eastAsia" w:cs="Yu Gothic Light"/>
          <w:sz w:val="24"/>
        </w:rPr>
        <w:t>士研究生国家</w:t>
      </w:r>
      <w:r>
        <w:rPr>
          <w:rFonts w:hint="eastAsia" w:cs="宋体"/>
          <w:sz w:val="24"/>
        </w:rPr>
        <w:t>奖</w:t>
      </w:r>
      <w:r>
        <w:rPr>
          <w:rFonts w:hint="eastAsia" w:cs="Yu Gothic Light"/>
          <w:sz w:val="24"/>
        </w:rPr>
        <w:t>学金申</w:t>
      </w:r>
      <w:r>
        <w:rPr>
          <w:rFonts w:hint="eastAsia" w:cs="宋体"/>
          <w:sz w:val="24"/>
        </w:rPr>
        <w:t>请审</w:t>
      </w:r>
      <w:r>
        <w:rPr>
          <w:rFonts w:hint="eastAsia" w:cs="Yu Gothic Light"/>
          <w:sz w:val="24"/>
        </w:rPr>
        <w:t>批表</w:t>
      </w:r>
      <w:r>
        <w:rPr>
          <w:sz w:val="24"/>
        </w:rPr>
        <w:t xml:space="preserve"> </w:t>
      </w:r>
    </w:p>
    <w:p w14:paraId="2766B8F5">
      <w:pPr>
        <w:adjustRightInd w:val="0"/>
        <w:snapToGrid w:val="0"/>
        <w:spacing w:line="360" w:lineRule="auto"/>
        <w:ind w:firstLine="960" w:firstLineChars="400"/>
        <w:rPr>
          <w:rFonts w:cs="Yu Gothic Light"/>
          <w:sz w:val="24"/>
        </w:rPr>
      </w:pPr>
      <w:r>
        <w:rPr>
          <w:rFonts w:hint="eastAsia"/>
          <w:sz w:val="24"/>
        </w:rPr>
        <w:t>3</w:t>
      </w:r>
      <w:r>
        <w:rPr>
          <w:sz w:val="24"/>
        </w:rPr>
        <w:t>、</w:t>
      </w:r>
      <w:r>
        <w:rPr>
          <w:rFonts w:hint="eastAsia"/>
          <w:sz w:val="24"/>
        </w:rPr>
        <w:t xml:space="preserve"> </w:t>
      </w:r>
      <w:r>
        <w:rPr>
          <w:rFonts w:hint="eastAsia" w:cs="宋体"/>
          <w:sz w:val="24"/>
        </w:rPr>
        <w:t>硕</w:t>
      </w:r>
      <w:r>
        <w:rPr>
          <w:rFonts w:hint="eastAsia" w:cs="Yu Gothic Light"/>
          <w:sz w:val="24"/>
        </w:rPr>
        <w:t>士研究生国家</w:t>
      </w:r>
      <w:r>
        <w:rPr>
          <w:rFonts w:hint="eastAsia" w:cs="宋体"/>
          <w:sz w:val="24"/>
        </w:rPr>
        <w:t>奖</w:t>
      </w:r>
      <w:r>
        <w:rPr>
          <w:rFonts w:hint="eastAsia" w:cs="Yu Gothic Light"/>
          <w:sz w:val="24"/>
        </w:rPr>
        <w:t>学金</w:t>
      </w:r>
      <w:r>
        <w:rPr>
          <w:rFonts w:hint="eastAsia" w:cs="宋体"/>
          <w:sz w:val="24"/>
        </w:rPr>
        <w:t>获奖</w:t>
      </w:r>
      <w:r>
        <w:rPr>
          <w:rFonts w:hint="eastAsia" w:cs="Yu Gothic Light"/>
          <w:sz w:val="24"/>
        </w:rPr>
        <w:t>学生</w:t>
      </w:r>
      <w:r>
        <w:rPr>
          <w:rFonts w:hint="eastAsia" w:cs="宋体"/>
          <w:sz w:val="24"/>
        </w:rPr>
        <w:t>汇总</w:t>
      </w:r>
      <w:r>
        <w:rPr>
          <w:rFonts w:hint="eastAsia" w:cs="Yu Gothic Light"/>
          <w:sz w:val="24"/>
        </w:rPr>
        <w:t>表</w:t>
      </w:r>
    </w:p>
    <w:p w14:paraId="6053ED09">
      <w:pPr>
        <w:adjustRightInd w:val="0"/>
        <w:snapToGrid w:val="0"/>
        <w:spacing w:line="360" w:lineRule="auto"/>
        <w:ind w:firstLine="960" w:firstLineChars="400"/>
        <w:rPr>
          <w:sz w:val="24"/>
        </w:rPr>
      </w:pPr>
    </w:p>
    <w:p w14:paraId="3F468856">
      <w:pPr>
        <w:adjustRightInd w:val="0"/>
        <w:snapToGrid w:val="0"/>
        <w:spacing w:line="360" w:lineRule="auto"/>
        <w:ind w:firstLine="200"/>
        <w:jc w:val="right"/>
        <w:rPr>
          <w:sz w:val="24"/>
        </w:rPr>
      </w:pPr>
      <w:r>
        <w:rPr>
          <w:sz w:val="24"/>
        </w:rPr>
        <w:t>2025 年</w:t>
      </w:r>
      <w:r>
        <w:rPr>
          <w:rFonts w:hint="eastAsia"/>
          <w:sz w:val="24"/>
          <w:lang w:val="en-US" w:eastAsia="zh-CN"/>
        </w:rPr>
        <w:t>7</w:t>
      </w:r>
      <w:r>
        <w:rPr>
          <w:sz w:val="24"/>
        </w:rPr>
        <w:t xml:space="preserve">月 </w:t>
      </w:r>
      <w:r>
        <w:rPr>
          <w:rFonts w:hint="eastAsia"/>
          <w:sz w:val="24"/>
          <w:lang w:val="en-US" w:eastAsia="zh-CN"/>
        </w:rPr>
        <w:t>3</w:t>
      </w:r>
      <w:bookmarkStart w:id="0" w:name="_GoBack"/>
      <w:bookmarkEnd w:id="0"/>
      <w:r>
        <w:rPr>
          <w:sz w:val="24"/>
        </w:rPr>
        <w:t xml:space="preserve">日 </w:t>
      </w:r>
    </w:p>
    <w:p w14:paraId="0556F92A">
      <w:pPr>
        <w:adjustRightInd w:val="0"/>
        <w:snapToGrid w:val="0"/>
        <w:spacing w:line="360" w:lineRule="auto"/>
        <w:ind w:firstLine="200"/>
        <w:jc w:val="right"/>
        <w:rPr>
          <w:sz w:val="24"/>
        </w:rPr>
      </w:pPr>
      <w:r>
        <w:rPr>
          <w:sz w:val="24"/>
        </w:rPr>
        <w:t>哈尔</w:t>
      </w:r>
      <w:r>
        <w:rPr>
          <w:rFonts w:hint="eastAsia" w:cs="宋体"/>
          <w:sz w:val="24"/>
        </w:rPr>
        <w:t>滨</w:t>
      </w:r>
      <w:r>
        <w:rPr>
          <w:rFonts w:hint="eastAsia" w:cs="Yu Gothic Light"/>
          <w:sz w:val="24"/>
        </w:rPr>
        <w:t>工</w:t>
      </w:r>
      <w:r>
        <w:rPr>
          <w:rFonts w:hint="eastAsia" w:cs="宋体"/>
          <w:sz w:val="24"/>
        </w:rPr>
        <w:t>业</w:t>
      </w:r>
      <w:r>
        <w:rPr>
          <w:rFonts w:hint="eastAsia" w:cs="Yu Gothic Light"/>
          <w:sz w:val="24"/>
        </w:rPr>
        <w:t>大学</w:t>
      </w:r>
      <w:r>
        <w:rPr>
          <w:rFonts w:hint="eastAsia"/>
          <w:sz w:val="24"/>
        </w:rPr>
        <w:t>（威海）汽</w:t>
      </w:r>
      <w:r>
        <w:rPr>
          <w:rFonts w:hint="eastAsia" w:cs="宋体"/>
          <w:sz w:val="24"/>
        </w:rPr>
        <w:t>车</w:t>
      </w:r>
      <w:r>
        <w:rPr>
          <w:sz w:val="24"/>
        </w:rPr>
        <w:t xml:space="preserve">工程学院 </w:t>
      </w:r>
    </w:p>
    <w:p w14:paraId="7940FF3D">
      <w:pPr>
        <w:adjustRightInd w:val="0"/>
        <w:snapToGrid w:val="0"/>
        <w:spacing w:line="360" w:lineRule="auto"/>
        <w:ind w:firstLine="200"/>
        <w:jc w:val="right"/>
        <w:rPr>
          <w:sz w:val="24"/>
        </w:rPr>
      </w:pPr>
    </w:p>
    <w:p w14:paraId="4708708A">
      <w:pPr>
        <w:spacing w:line="288" w:lineRule="auto"/>
        <w:jc w:val="left"/>
        <w:rPr>
          <w:sz w:val="32"/>
          <w:szCs w:val="32"/>
        </w:rPr>
      </w:pPr>
      <w:r>
        <w:rPr>
          <w:rFonts w:hint="eastAsia"/>
          <w:sz w:val="32"/>
          <w:szCs w:val="32"/>
        </w:rPr>
        <w:t>附件1</w:t>
      </w:r>
    </w:p>
    <w:p w14:paraId="304E3E7F">
      <w:pPr>
        <w:spacing w:line="288" w:lineRule="auto"/>
        <w:jc w:val="center"/>
        <w:rPr>
          <w:sz w:val="32"/>
          <w:szCs w:val="32"/>
        </w:rPr>
      </w:pPr>
      <w:r>
        <w:rPr>
          <w:sz w:val="32"/>
          <w:szCs w:val="32"/>
        </w:rPr>
        <w:t>研究生国家奖学金德育综合表现评定原则</w:t>
      </w:r>
    </w:p>
    <w:p w14:paraId="44C05817">
      <w:pPr>
        <w:adjustRightInd w:val="0"/>
        <w:snapToGrid w:val="0"/>
        <w:spacing w:line="360" w:lineRule="auto"/>
        <w:rPr>
          <w:b/>
          <w:sz w:val="28"/>
          <w:szCs w:val="28"/>
        </w:rPr>
      </w:pPr>
      <w:r>
        <w:rPr>
          <w:b/>
          <w:sz w:val="28"/>
          <w:szCs w:val="28"/>
        </w:rPr>
        <w:t>一、基本原则</w:t>
      </w:r>
    </w:p>
    <w:p w14:paraId="22004EE9">
      <w:pPr>
        <w:adjustRightInd w:val="0"/>
        <w:snapToGrid w:val="0"/>
        <w:spacing w:line="360" w:lineRule="auto"/>
        <w:ind w:firstLine="480"/>
        <w:rPr>
          <w:sz w:val="24"/>
        </w:rPr>
      </w:pPr>
      <w:r>
        <w:rPr>
          <w:sz w:val="24"/>
        </w:rPr>
        <w:t>德育综合表现是在评定研究生国家奖学金过程中对研究生进行评价的重要方面，为了体现研究生日常德育表现的重要性，在研究生国家奖学金满分100分中设定5分为德育综合表现评价，内容包括基础评价、德育奖励、特殊表现三项。</w:t>
      </w:r>
    </w:p>
    <w:p w14:paraId="00E01159">
      <w:pPr>
        <w:adjustRightInd w:val="0"/>
        <w:snapToGrid w:val="0"/>
        <w:spacing w:line="360" w:lineRule="auto"/>
        <w:rPr>
          <w:b/>
          <w:sz w:val="28"/>
          <w:szCs w:val="28"/>
        </w:rPr>
      </w:pPr>
      <w:r>
        <w:rPr>
          <w:b/>
          <w:sz w:val="28"/>
          <w:szCs w:val="28"/>
        </w:rPr>
        <w:t>二、评分方式</w:t>
      </w:r>
    </w:p>
    <w:p w14:paraId="2F06287F">
      <w:pPr>
        <w:adjustRightInd w:val="0"/>
        <w:snapToGrid w:val="0"/>
        <w:spacing w:line="360" w:lineRule="auto"/>
        <w:ind w:firstLine="480"/>
        <w:rPr>
          <w:sz w:val="24"/>
        </w:rPr>
      </w:pPr>
      <w:r>
        <w:rPr>
          <w:sz w:val="24"/>
        </w:rPr>
        <w:t>德育综合表现满分为5分，其中基础评价3分、德育奖励及特殊表现2分。</w:t>
      </w:r>
    </w:p>
    <w:p w14:paraId="1A4C6D93">
      <w:pPr>
        <w:adjustRightInd w:val="0"/>
        <w:snapToGrid w:val="0"/>
        <w:spacing w:line="360" w:lineRule="auto"/>
        <w:rPr>
          <w:b/>
          <w:sz w:val="28"/>
          <w:szCs w:val="28"/>
        </w:rPr>
      </w:pPr>
      <w:r>
        <w:rPr>
          <w:b/>
          <w:sz w:val="28"/>
          <w:szCs w:val="28"/>
        </w:rPr>
        <w:t>三、德育综合表现内容</w:t>
      </w:r>
    </w:p>
    <w:p w14:paraId="011472CA">
      <w:pPr>
        <w:adjustRightInd w:val="0"/>
        <w:snapToGrid w:val="0"/>
        <w:spacing w:line="360" w:lineRule="auto"/>
        <w:rPr>
          <w:b/>
          <w:sz w:val="24"/>
        </w:rPr>
      </w:pPr>
      <w:r>
        <w:rPr>
          <w:b/>
          <w:sz w:val="24"/>
        </w:rPr>
        <w:t>1基础评价（满分3分）</w:t>
      </w:r>
    </w:p>
    <w:p w14:paraId="08846B11">
      <w:pPr>
        <w:adjustRightInd w:val="0"/>
        <w:snapToGrid w:val="0"/>
        <w:spacing w:line="360" w:lineRule="auto"/>
        <w:ind w:firstLine="480"/>
        <w:rPr>
          <w:sz w:val="24"/>
        </w:rPr>
      </w:pPr>
      <w:r>
        <w:rPr>
          <w:sz w:val="24"/>
        </w:rPr>
        <w:t>基础评价标准及原则由各学院根据评审要求和工作实际自行制定，可采取德育综合评价体系、学生互评等方式，应能充分反映研究生的日常德育表现，并确保基础评价工作的公平、公正、合理。</w:t>
      </w:r>
    </w:p>
    <w:p w14:paraId="5B0C256F">
      <w:pPr>
        <w:adjustRightInd w:val="0"/>
        <w:snapToGrid w:val="0"/>
        <w:spacing w:line="360" w:lineRule="auto"/>
        <w:rPr>
          <w:b/>
          <w:sz w:val="24"/>
        </w:rPr>
      </w:pPr>
      <w:r>
        <w:rPr>
          <w:b/>
          <w:sz w:val="24"/>
        </w:rPr>
        <w:t>2德育奖励（满分2分）</w:t>
      </w:r>
    </w:p>
    <w:p w14:paraId="7C04EE22">
      <w:pPr>
        <w:adjustRightInd w:val="0"/>
        <w:snapToGrid w:val="0"/>
        <w:spacing w:line="360" w:lineRule="auto"/>
        <w:ind w:firstLine="480"/>
        <w:rPr>
          <w:sz w:val="24"/>
        </w:rPr>
      </w:pPr>
      <w:r>
        <w:rPr>
          <w:sz w:val="24"/>
        </w:rPr>
        <w:t>对获得校级及以上奖励的研究生进行加分，取学生活动荣誉对应分值最高项目加分，各项目得分不累加。具体分值和对应荣誉项目如下：</w:t>
      </w:r>
    </w:p>
    <w:p w14:paraId="6430943F">
      <w:pPr>
        <w:adjustRightInd w:val="0"/>
        <w:snapToGrid w:val="0"/>
        <w:spacing w:line="360" w:lineRule="auto"/>
        <w:ind w:firstLine="480" w:firstLineChars="200"/>
        <w:rPr>
          <w:sz w:val="24"/>
        </w:rPr>
      </w:pPr>
      <w:r>
        <w:rPr>
          <w:sz w:val="24"/>
        </w:rPr>
        <w:t>2分：国家级个人、集体荣誉奖励，省级个人荣誉奖励标兵；</w:t>
      </w:r>
    </w:p>
    <w:p w14:paraId="36B42581">
      <w:pPr>
        <w:adjustRightInd w:val="0"/>
        <w:snapToGrid w:val="0"/>
        <w:spacing w:line="360" w:lineRule="auto"/>
        <w:ind w:firstLine="480" w:firstLineChars="200"/>
        <w:rPr>
          <w:sz w:val="24"/>
        </w:rPr>
      </w:pPr>
      <w:r>
        <w:rPr>
          <w:sz w:val="24"/>
        </w:rPr>
        <w:t>1.75分：省级个人荣誉奖励、校级个人荣誉奖励标兵、省级集体荣誉奖励标兵；</w:t>
      </w:r>
    </w:p>
    <w:p w14:paraId="380F9FEE">
      <w:pPr>
        <w:adjustRightInd w:val="0"/>
        <w:snapToGrid w:val="0"/>
        <w:spacing w:line="360" w:lineRule="auto"/>
        <w:ind w:firstLine="480"/>
        <w:rPr>
          <w:sz w:val="24"/>
        </w:rPr>
      </w:pPr>
      <w:r>
        <w:rPr>
          <w:sz w:val="24"/>
        </w:rPr>
        <w:t>1.5分：校级个人荣誉奖励、省级集体荣誉奖励、校级集体荣誉奖励标兵；</w:t>
      </w:r>
    </w:p>
    <w:p w14:paraId="4A772DAD">
      <w:pPr>
        <w:adjustRightInd w:val="0"/>
        <w:snapToGrid w:val="0"/>
        <w:spacing w:line="360" w:lineRule="auto"/>
        <w:ind w:firstLine="480"/>
        <w:rPr>
          <w:sz w:val="24"/>
        </w:rPr>
      </w:pPr>
      <w:r>
        <w:rPr>
          <w:sz w:val="24"/>
        </w:rPr>
        <w:t>1分：校级集体荣誉奖励。</w:t>
      </w:r>
    </w:p>
    <w:p w14:paraId="592012DF">
      <w:pPr>
        <w:adjustRightInd w:val="0"/>
        <w:snapToGrid w:val="0"/>
        <w:spacing w:line="360" w:lineRule="auto"/>
        <w:ind w:firstLine="480"/>
        <w:rPr>
          <w:sz w:val="24"/>
        </w:rPr>
      </w:pPr>
      <w:r>
        <w:rPr>
          <w:b/>
          <w:sz w:val="24"/>
        </w:rPr>
        <w:t>特殊表现：</w:t>
      </w:r>
      <w:r>
        <w:rPr>
          <w:sz w:val="24"/>
        </w:rPr>
        <w:t>对有见义勇为、拾金不昧等表现，或在某方面做出突出贡献，并引起一定校园、社会反响的学生进行适当加分。</w:t>
      </w:r>
    </w:p>
    <w:p w14:paraId="3E80EAB9">
      <w:pPr>
        <w:adjustRightInd w:val="0"/>
        <w:snapToGrid w:val="0"/>
        <w:spacing w:line="360" w:lineRule="auto"/>
        <w:ind w:firstLine="480"/>
        <w:rPr>
          <w:sz w:val="24"/>
        </w:rPr>
      </w:pPr>
      <w:r>
        <w:rPr>
          <w:sz w:val="24"/>
        </w:rPr>
        <w:t>（德育奖励与特殊表现可合并计分，两项总分不超过2分。）</w:t>
      </w:r>
    </w:p>
    <w:p w14:paraId="15426CA2">
      <w:pPr>
        <w:adjustRightInd w:val="0"/>
        <w:snapToGrid w:val="0"/>
        <w:spacing w:line="360" w:lineRule="auto"/>
        <w:ind w:firstLine="200"/>
        <w:jc w:val="left"/>
        <w:rPr>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Gothic Light">
    <w:panose1 w:val="020B0300000000000000"/>
    <w:charset w:val="80"/>
    <w:family w:val="swiss"/>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A3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NzJkYzgwNzdlYmEyNzhhMTRhYjA3NTc4MDBhOWUifQ=="/>
  </w:docVars>
  <w:rsids>
    <w:rsidRoot w:val="005B06D5"/>
    <w:rsid w:val="00001AF4"/>
    <w:rsid w:val="00001B1D"/>
    <w:rsid w:val="00046649"/>
    <w:rsid w:val="00053277"/>
    <w:rsid w:val="00091105"/>
    <w:rsid w:val="000E2E5C"/>
    <w:rsid w:val="000E40E7"/>
    <w:rsid w:val="000F4C3C"/>
    <w:rsid w:val="0013164A"/>
    <w:rsid w:val="001A381E"/>
    <w:rsid w:val="001B2A80"/>
    <w:rsid w:val="001C28C3"/>
    <w:rsid w:val="001C2D52"/>
    <w:rsid w:val="001C45BF"/>
    <w:rsid w:val="001C6A8A"/>
    <w:rsid w:val="001D6AFE"/>
    <w:rsid w:val="00282935"/>
    <w:rsid w:val="0029256E"/>
    <w:rsid w:val="00292E41"/>
    <w:rsid w:val="0033438A"/>
    <w:rsid w:val="003476AA"/>
    <w:rsid w:val="00356308"/>
    <w:rsid w:val="0036700C"/>
    <w:rsid w:val="00367E49"/>
    <w:rsid w:val="00384772"/>
    <w:rsid w:val="003A5A78"/>
    <w:rsid w:val="003F26DE"/>
    <w:rsid w:val="003F43D8"/>
    <w:rsid w:val="003F5446"/>
    <w:rsid w:val="00401565"/>
    <w:rsid w:val="00437C5D"/>
    <w:rsid w:val="004404AB"/>
    <w:rsid w:val="00480B4B"/>
    <w:rsid w:val="004A569A"/>
    <w:rsid w:val="004B249F"/>
    <w:rsid w:val="004C4C03"/>
    <w:rsid w:val="00535DED"/>
    <w:rsid w:val="00554DD2"/>
    <w:rsid w:val="005B06D5"/>
    <w:rsid w:val="005E4500"/>
    <w:rsid w:val="006B35A7"/>
    <w:rsid w:val="006C396F"/>
    <w:rsid w:val="006E0AFF"/>
    <w:rsid w:val="00720473"/>
    <w:rsid w:val="00732E93"/>
    <w:rsid w:val="00735B91"/>
    <w:rsid w:val="0074273D"/>
    <w:rsid w:val="007534F7"/>
    <w:rsid w:val="00757878"/>
    <w:rsid w:val="007E64E2"/>
    <w:rsid w:val="00820755"/>
    <w:rsid w:val="00852FD0"/>
    <w:rsid w:val="00886859"/>
    <w:rsid w:val="008B386D"/>
    <w:rsid w:val="008B4C83"/>
    <w:rsid w:val="008D3163"/>
    <w:rsid w:val="008D71D1"/>
    <w:rsid w:val="008F1C05"/>
    <w:rsid w:val="008F259F"/>
    <w:rsid w:val="00913048"/>
    <w:rsid w:val="00925E5B"/>
    <w:rsid w:val="009329AA"/>
    <w:rsid w:val="009A1659"/>
    <w:rsid w:val="009A1B58"/>
    <w:rsid w:val="009B5860"/>
    <w:rsid w:val="00A03DB8"/>
    <w:rsid w:val="00A4670B"/>
    <w:rsid w:val="00A71553"/>
    <w:rsid w:val="00AA3126"/>
    <w:rsid w:val="00AA31CD"/>
    <w:rsid w:val="00AB3E61"/>
    <w:rsid w:val="00AC317E"/>
    <w:rsid w:val="00AD0557"/>
    <w:rsid w:val="00AD42D5"/>
    <w:rsid w:val="00B12580"/>
    <w:rsid w:val="00B30280"/>
    <w:rsid w:val="00B547BF"/>
    <w:rsid w:val="00B60AE4"/>
    <w:rsid w:val="00B66F90"/>
    <w:rsid w:val="00B70760"/>
    <w:rsid w:val="00BA7062"/>
    <w:rsid w:val="00BC2967"/>
    <w:rsid w:val="00BC75AA"/>
    <w:rsid w:val="00C1333A"/>
    <w:rsid w:val="00C33161"/>
    <w:rsid w:val="00C35705"/>
    <w:rsid w:val="00C57922"/>
    <w:rsid w:val="00C62341"/>
    <w:rsid w:val="00C76278"/>
    <w:rsid w:val="00CA4658"/>
    <w:rsid w:val="00D02428"/>
    <w:rsid w:val="00D141A3"/>
    <w:rsid w:val="00D21C6C"/>
    <w:rsid w:val="00D26D95"/>
    <w:rsid w:val="00D323DC"/>
    <w:rsid w:val="00D426B9"/>
    <w:rsid w:val="00D547BF"/>
    <w:rsid w:val="00D6673F"/>
    <w:rsid w:val="00D80B40"/>
    <w:rsid w:val="00D94221"/>
    <w:rsid w:val="00DB0141"/>
    <w:rsid w:val="00DB4B69"/>
    <w:rsid w:val="00DC6278"/>
    <w:rsid w:val="00DC630E"/>
    <w:rsid w:val="00DE44CA"/>
    <w:rsid w:val="00E22EDD"/>
    <w:rsid w:val="00E60D49"/>
    <w:rsid w:val="00E85E08"/>
    <w:rsid w:val="00EB68EF"/>
    <w:rsid w:val="00EC3C8A"/>
    <w:rsid w:val="00ED752B"/>
    <w:rsid w:val="00EE1D38"/>
    <w:rsid w:val="00F01C39"/>
    <w:rsid w:val="00F3602C"/>
    <w:rsid w:val="00F61914"/>
    <w:rsid w:val="00F83916"/>
    <w:rsid w:val="00F90ABA"/>
    <w:rsid w:val="00FA1596"/>
    <w:rsid w:val="00FA1F36"/>
    <w:rsid w:val="00FA561F"/>
    <w:rsid w:val="00FB5F32"/>
    <w:rsid w:val="00FC002F"/>
    <w:rsid w:val="00FD76E0"/>
    <w:rsid w:val="0FEC467C"/>
    <w:rsid w:val="1ACA122E"/>
    <w:rsid w:val="48080379"/>
    <w:rsid w:val="66CE4DFC"/>
    <w:rsid w:val="6A1A7A3E"/>
    <w:rsid w:val="6A453920"/>
    <w:rsid w:val="743D7EFF"/>
    <w:rsid w:val="779931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semiHidden/>
    <w:unhideWhenUsed/>
    <w:qFormat/>
    <w:uiPriority w:val="99"/>
    <w:rPr>
      <w:b/>
      <w:bCs/>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0"/>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日期 字符"/>
    <w:basedOn w:val="10"/>
    <w:link w:val="3"/>
    <w:semiHidden/>
    <w:qFormat/>
    <w:uiPriority w:val="99"/>
    <w:rPr>
      <w:rFonts w:ascii="Times New Roman" w:hAnsi="Times New Roman" w:eastAsia="宋体" w:cs="Times New Roman"/>
      <w:szCs w:val="24"/>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批注文字 字符"/>
    <w:basedOn w:val="10"/>
    <w:link w:val="2"/>
    <w:semiHidden/>
    <w:qFormat/>
    <w:uiPriority w:val="99"/>
    <w:rPr>
      <w:rFonts w:ascii="Times New Roman" w:hAnsi="Times New Roman" w:eastAsia="宋体" w:cs="Times New Roman"/>
      <w:szCs w:val="24"/>
    </w:rPr>
  </w:style>
  <w:style w:type="character" w:customStyle="1" w:styleId="18">
    <w:name w:val="批注主题 字符"/>
    <w:basedOn w:val="17"/>
    <w:link w:val="8"/>
    <w:semiHidden/>
    <w:qFormat/>
    <w:uiPriority w:val="99"/>
    <w:rPr>
      <w:rFonts w:ascii="Times New Roman" w:hAnsi="Times New Roman" w:eastAsia="宋体" w:cs="Times New Roman"/>
      <w:b/>
      <w:bCs/>
      <w:szCs w:val="24"/>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2730</Words>
  <Characters>2780</Characters>
  <Lines>20</Lines>
  <Paragraphs>5</Paragraphs>
  <TotalTime>146</TotalTime>
  <ScaleCrop>false</ScaleCrop>
  <LinksUpToDate>false</LinksUpToDate>
  <CharactersWithSpaces>2838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2024-08-28T01:40:00Z</dcterms:created>
  <dc:creator>Microsoft</dc:creator>
  <cp:lastModifiedBy>宋翌铎</cp:lastModifiedBy>
  <cp:lastPrinted>2021-10-15T08:07:00Z</cp:lastPrinted>
  <dcterms:modified xsi:type="dcterms:W3CDTF">2025-07-03T06:39:34Z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EFD345F1D069425B9D8758FB7D2E3300</vt:lpwstr>
  </property>
  <property fmtid="{D5CDD505-2E9C-101B-9397-08002B2CF9AE}" pid="4" name="KSOTemplateDocerSaveRecord">
    <vt:lpwstr>eyJoZGlkIjoiYWJhMjlkMTU5ODExYzQxNTQxOWZkNjFlMjM2MmYyMDQiLCJ1c2VySWQiOiI0MDMwNzI2NjUifQ==</vt:lpwstr>
  </property>
</Properties>
</file>